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466A9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kern w:val="0"/>
          <w:sz w:val="32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1"/>
          <w:lang w:val="en-US" w:eastAsia="zh-CN"/>
        </w:rPr>
        <w:t>广东工业大学国际联合培养项目“励行领航者计划”</w:t>
      </w:r>
    </w:p>
    <w:p w14:paraId="7034F300">
      <w:pPr>
        <w:widowControl/>
        <w:spacing w:line="360" w:lineRule="auto"/>
        <w:jc w:val="center"/>
        <w:rPr>
          <w:rFonts w:hint="eastAsia" w:ascii="宋体" w:hAnsi="宋体" w:eastAsia="宋体" w:cs="宋体"/>
          <w:b/>
          <w:kern w:val="0"/>
          <w:sz w:val="32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1"/>
          <w:lang w:val="en-US" w:eastAsia="zh-CN"/>
        </w:rPr>
        <w:t>加州大学伯克利分校 数字经济创新实践领航计划</w:t>
      </w:r>
    </w:p>
    <w:p w14:paraId="6DF56AD7">
      <w:pPr>
        <w:widowControl/>
        <w:spacing w:line="360" w:lineRule="auto"/>
        <w:jc w:val="center"/>
        <w:rPr>
          <w:rFonts w:hint="default" w:ascii="宋体" w:hAnsi="宋体" w:eastAsia="宋体" w:cs="宋体"/>
          <w:b/>
          <w:kern w:val="0"/>
          <w:sz w:val="32"/>
          <w:szCs w:val="21"/>
          <w:lang w:val="en-US" w:eastAsia="zh-CN"/>
        </w:rPr>
      </w:pPr>
    </w:p>
    <w:p w14:paraId="7C684822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0" w:firstLineChars="20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在新一轮科技革命和产业变革背景下，数字经济正成为全球经济增长的重要驱动力。为帮助学生拓展国际视野、深化专业认知、提升综合能力，广东工业大学推出</w:t>
      </w: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“加州大学伯克利分校 数字经济创新实践领航计划”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，组织学生走进世界一流大学、湾区创新生态与真实社会场景，在沉浸式学习中理解数字经济、感知全球创新、赋能未来发展。</w:t>
      </w:r>
    </w:p>
    <w:p w14:paraId="3CBB6995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一、项目背景</w:t>
      </w:r>
    </w:p>
    <w:p w14:paraId="73E0617B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0" w:firstLineChars="20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人工智能、平台经济、区块链、数字治理、数据要素流通等议题，正在深刻影响产业结构、城市创新与人才发展路径。美国作为全球数字技术创新的重要策源地之一，在高等教育、科研创新、创业孵化、平台企业发展和技术治理等方面具有鲜明优势。尤其是</w:t>
      </w: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伯克利、斯坦福、旧金山湾区和硅谷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，长期引领全球前沿讨论与实践探索。项目以此为依托，引导学生在全球创新高地中建立</w:t>
      </w: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跨学科、跨文化、跨地域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的认知框架。</w:t>
      </w:r>
    </w:p>
    <w:p w14:paraId="5F0C8ED0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二、项目简介</w:t>
      </w:r>
    </w:p>
    <w:p w14:paraId="1471A1DE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0" w:firstLineChars="20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本项目聚焦数字经济关键议题，通过</w:t>
      </w: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名校课程、大学交流、创新生态体验、城市文化观察、小组研讨与成果展示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等多元形式，帮助学生理解数字经济的核心逻辑与发展脉络，建立对</w:t>
      </w:r>
      <w:r>
        <w:rPr>
          <w:rFonts w:ascii="仿宋" w:hAnsi="仿宋" w:eastAsia="仿宋" w:cs="Segoe UI"/>
          <w:color w:val="000000"/>
          <w:kern w:val="0"/>
          <w:szCs w:val="21"/>
        </w:rPr>
        <w:t>AI、平台经济、区块链、数字治理等议题的系统认知，提升英文场景适应力、跨文化沟通力、学术表达力与团队协作力，为未来升学、科研和职业发展提供更具国际化的参照系。</w:t>
      </w:r>
    </w:p>
    <w:p w14:paraId="6F044395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三、项目亮点：</w:t>
      </w:r>
    </w:p>
    <w:p w14:paraId="3C56934F">
      <w:pPr>
        <w:pStyle w:val="11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聚焦数字经济前沿议题：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围绕数字经济导论、</w:t>
      </w:r>
      <w:r>
        <w:rPr>
          <w:rFonts w:ascii="仿宋" w:hAnsi="仿宋" w:eastAsia="仿宋" w:cs="Segoe UI"/>
          <w:color w:val="000000"/>
          <w:kern w:val="0"/>
          <w:szCs w:val="21"/>
        </w:rPr>
        <w:t>AI经济学、平台经济、区块链应用、数字责任与未来趋势等内容展开系统学习。</w:t>
      </w:r>
    </w:p>
    <w:p w14:paraId="7AF8005A">
      <w:pPr>
        <w:pStyle w:val="11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走进世界名校，感受国际学术氛围：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项目包含加州大学伯克利分校课程学习、斯坦福大学参访等环节。</w:t>
      </w:r>
    </w:p>
    <w:p w14:paraId="64E81850">
      <w:pPr>
        <w:pStyle w:val="11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深入湾区创新生态，链接真实产业场景：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通过</w:t>
      </w:r>
      <w:r>
        <w:rPr>
          <w:rFonts w:ascii="仿宋" w:hAnsi="仿宋" w:eastAsia="仿宋" w:cs="Segoe UI"/>
          <w:color w:val="000000"/>
          <w:kern w:val="0"/>
          <w:szCs w:val="21"/>
        </w:rPr>
        <w:t>Intel博物馆、苹果访客中心及旧金山城市观察，理解“学术—技术—产业—城市”之间的互动关系。</w:t>
      </w:r>
    </w:p>
    <w:p w14:paraId="2950A15C">
      <w:pPr>
        <w:pStyle w:val="11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强调成果输出，提升综合能力：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项目设置研学日志、小组讨论、案例分析与成果汇报，推动学生将“所见所闻”转化为“所思所成”。</w:t>
      </w:r>
    </w:p>
    <w:p w14:paraId="7EFBFFDD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</w:p>
    <w:p w14:paraId="68A8E165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四、项目模块</w:t>
      </w:r>
    </w:p>
    <w:p w14:paraId="6F0A5DE3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0" w:firstLineChars="20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项目围绕</w:t>
      </w: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“知识建构—产业认知—文化感知—能力输出”</w:t>
      </w:r>
      <w:r>
        <w:rPr>
          <w:rFonts w:hint="eastAsia" w:ascii="仿宋" w:hAnsi="仿宋" w:eastAsia="仿宋" w:cs="Segoe UI"/>
          <w:color w:val="000000"/>
          <w:kern w:val="0"/>
          <w:szCs w:val="21"/>
        </w:rPr>
        <w:t>设置研学模块，主要包括：</w:t>
      </w:r>
    </w:p>
    <w:p w14:paraId="58807B02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国际大学交流与升学启蒙</w:t>
      </w:r>
    </w:p>
    <w:p w14:paraId="08812693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湾区创新生态深度观察</w:t>
      </w:r>
    </w:p>
    <w:p w14:paraId="441F14CD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数字经济核心课程研习</w:t>
      </w:r>
    </w:p>
    <w:p w14:paraId="32EF59A7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案例分析与议题研讨</w:t>
      </w:r>
    </w:p>
    <w:p w14:paraId="43C64828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跨文化适应与国际表达训练</w:t>
      </w:r>
    </w:p>
    <w:p w14:paraId="76224B23">
      <w:pPr>
        <w:pStyle w:val="11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成果输出与综合展示</w:t>
      </w:r>
    </w:p>
    <w:p w14:paraId="1420516B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五、主题课程</w:t>
      </w:r>
    </w:p>
    <w:p w14:paraId="6603630E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0" w:firstLineChars="20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项目主题课程主要包括：</w:t>
      </w:r>
    </w:p>
    <w:p w14:paraId="4F916469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《数字经济导论》</w:t>
      </w:r>
    </w:p>
    <w:p w14:paraId="7CF3BC2F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</w:t>
      </w:r>
      <w:r>
        <w:rPr>
          <w:rFonts w:ascii="仿宋" w:hAnsi="仿宋" w:eastAsia="仿宋" w:cs="Segoe UI"/>
          <w:color w:val="000000"/>
          <w:kern w:val="0"/>
          <w:szCs w:val="21"/>
        </w:rPr>
        <w:t>AI的经济学》</w:t>
      </w:r>
    </w:p>
    <w:p w14:paraId="65CC69AE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《平台经济与数字市场设计》</w:t>
      </w:r>
    </w:p>
    <w:p w14:paraId="67777C50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《区块链技术与数字经济应用》</w:t>
      </w:r>
    </w:p>
    <w:p w14:paraId="1622CD8E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《数字经济的挑战与责任》</w:t>
      </w:r>
    </w:p>
    <w:p w14:paraId="04B1198C">
      <w:pPr>
        <w:pStyle w:val="11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before="150" w:after="150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《数字经济未来趋势与应用场景》</w:t>
      </w:r>
    </w:p>
    <w:p w14:paraId="09156167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0" w:firstLineChars="20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课程内容涵盖中美数字生态比较、算法伦理边界、平台竞争与垄断、数字货币、</w:t>
      </w:r>
      <w:r>
        <w:rPr>
          <w:rFonts w:ascii="仿宋" w:hAnsi="仿宋" w:eastAsia="仿宋" w:cs="Segoe UI"/>
          <w:color w:val="000000"/>
          <w:kern w:val="0"/>
          <w:szCs w:val="21"/>
        </w:rPr>
        <w:t>DeFi、数字鸿沟、算法歧视等前沿议题。</w:t>
      </w:r>
    </w:p>
    <w:p w14:paraId="3DBBE4D1">
      <w:pPr>
        <w:widowControl/>
        <w:shd w:val="clear" w:color="auto" w:fill="FFFFFF"/>
        <w:adjustRightInd w:val="0"/>
        <w:snapToGrid w:val="0"/>
        <w:spacing w:before="150" w:after="150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六、日程安排</w:t>
      </w:r>
    </w:p>
    <w:p w14:paraId="629D255C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0" w:firstLineChars="20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项目时间为</w:t>
      </w:r>
      <w:r>
        <w:rPr>
          <w:rFonts w:ascii="仿宋" w:hAnsi="仿宋" w:eastAsia="仿宋" w:cs="Segoe UI"/>
          <w:color w:val="000000"/>
          <w:kern w:val="0"/>
          <w:szCs w:val="21"/>
        </w:rPr>
        <w:t xml:space="preserve"> 2026年7月15日—7月25日，为期11天。整体安排包括：</w:t>
      </w:r>
    </w:p>
    <w:p w14:paraId="52EE7DF9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广州出发，赴美开启研学行程</w:t>
      </w:r>
    </w:p>
    <w:p w14:paraId="2F3A4685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加州大学伯克利分校开营交流、校园参访、招生官见面会、学长分享</w:t>
      </w:r>
    </w:p>
    <w:p w14:paraId="0664E8B2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入住学生宿舍，开展课程学习与校园探索</w:t>
      </w:r>
    </w:p>
    <w:p w14:paraId="3DE4C9BB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参访斯坦福大学、</w:t>
      </w:r>
      <w:r>
        <w:rPr>
          <w:rFonts w:ascii="仿宋" w:hAnsi="仿宋" w:eastAsia="仿宋" w:cs="Segoe UI"/>
          <w:color w:val="000000"/>
          <w:kern w:val="0"/>
          <w:szCs w:val="21"/>
        </w:rPr>
        <w:t>Intel博物馆、苹果访客中心</w:t>
      </w:r>
    </w:p>
    <w:p w14:paraId="0649E35A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开展旧金山城市研学与数字生态观察</w:t>
      </w:r>
    </w:p>
    <w:p w14:paraId="5826A6D8">
      <w:pPr>
        <w:pStyle w:val="11"/>
        <w:widowControl/>
        <w:numPr>
          <w:ilvl w:val="0"/>
          <w:numId w:val="4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完成小组讨论、案例分析、成果汇报与结业总结</w:t>
      </w:r>
    </w:p>
    <w:p w14:paraId="53BB1EEB">
      <w:pPr>
        <w:widowControl/>
        <w:shd w:val="clear" w:color="auto" w:fill="FFFFFF"/>
        <w:adjustRightInd w:val="0"/>
        <w:snapToGrid w:val="0"/>
        <w:spacing w:after="100" w:afterAutospacing="1" w:line="360" w:lineRule="auto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ascii="仿宋" w:hAnsi="仿宋" w:eastAsia="仿宋" w:cs="Segoe UI"/>
          <w:color w:val="000000"/>
          <w:kern w:val="0"/>
          <w:szCs w:val="21"/>
        </w:rPr>
        <w:drawing>
          <wp:inline distT="0" distB="0" distL="0" distR="0">
            <wp:extent cx="5274310" cy="6160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6D94">
      <w:pPr>
        <w:widowControl/>
        <w:shd w:val="clear" w:color="auto" w:fill="FFFFFF"/>
        <w:adjustRightInd w:val="0"/>
        <w:snapToGrid w:val="0"/>
        <w:spacing w:after="100" w:afterAutospacing="1" w:line="360" w:lineRule="auto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ascii="仿宋" w:hAnsi="仿宋" w:eastAsia="仿宋" w:cs="Segoe UI"/>
          <w:color w:val="000000"/>
          <w:kern w:val="0"/>
          <w:szCs w:val="21"/>
        </w:rPr>
        <w:drawing>
          <wp:inline distT="0" distB="0" distL="0" distR="0">
            <wp:extent cx="5274310" cy="6256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E8DF">
      <w:pPr>
        <w:widowControl/>
        <w:shd w:val="clear" w:color="auto" w:fill="FFFFFF"/>
        <w:adjustRightInd w:val="0"/>
        <w:snapToGrid w:val="0"/>
        <w:spacing w:after="100" w:afterAutospacing="1" w:line="360" w:lineRule="auto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ascii="仿宋" w:hAnsi="仿宋" w:eastAsia="仿宋" w:cs="Segoe UI"/>
          <w:color w:val="000000"/>
          <w:kern w:val="0"/>
          <w:szCs w:val="21"/>
        </w:rPr>
        <w:drawing>
          <wp:inline distT="0" distB="0" distL="0" distR="0">
            <wp:extent cx="5274310" cy="5754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BBB0">
      <w:pPr>
        <w:widowControl/>
        <w:shd w:val="clear" w:color="auto" w:fill="FFFFFF"/>
        <w:adjustRightInd w:val="0"/>
        <w:snapToGrid w:val="0"/>
        <w:spacing w:after="100" w:afterAutospacing="1" w:line="360" w:lineRule="auto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ascii="仿宋" w:hAnsi="仿宋" w:eastAsia="仿宋" w:cs="Segoe UI"/>
          <w:color w:val="000000"/>
          <w:kern w:val="0"/>
          <w:szCs w:val="21"/>
        </w:rPr>
        <w:drawing>
          <wp:inline distT="0" distB="0" distL="0" distR="0">
            <wp:extent cx="5274310" cy="5448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DF28">
      <w:pPr>
        <w:widowControl/>
        <w:shd w:val="clear" w:color="auto" w:fill="FFFFFF"/>
        <w:adjustRightInd w:val="0"/>
        <w:snapToGrid w:val="0"/>
        <w:spacing w:after="100" w:afterAutospacing="1" w:line="360" w:lineRule="auto"/>
        <w:ind w:firstLine="422" w:firstLineChars="200"/>
        <w:jc w:val="left"/>
        <w:rPr>
          <w:rFonts w:ascii="仿宋" w:hAnsi="仿宋" w:eastAsia="仿宋" w:cs="Segoe UI"/>
          <w:b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b/>
          <w:color w:val="000000"/>
          <w:kern w:val="0"/>
          <w:szCs w:val="21"/>
        </w:rPr>
        <w:t>七、报名须知</w:t>
      </w:r>
    </w:p>
    <w:p w14:paraId="10BB68B2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项目名称：加州大学伯克利分校 数字经济创新实践领航计划</w:t>
      </w:r>
    </w:p>
    <w:p w14:paraId="0C870C45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参访高校：</w:t>
      </w:r>
      <w:bookmarkStart w:id="0" w:name="_GoBack"/>
      <w:bookmarkEnd w:id="0"/>
    </w:p>
    <w:p w14:paraId="295F1EE1">
      <w:pPr>
        <w:pStyle w:val="11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加州大学伯克利分校（</w:t>
      </w:r>
      <w:r>
        <w:rPr>
          <w:rFonts w:ascii="仿宋" w:hAnsi="仿宋" w:eastAsia="仿宋" w:cs="Segoe UI"/>
          <w:color w:val="000000"/>
          <w:kern w:val="0"/>
          <w:szCs w:val="21"/>
        </w:rPr>
        <w:t>UC Berkeley）</w:t>
      </w:r>
    </w:p>
    <w:p w14:paraId="76871CEB">
      <w:pPr>
        <w:pStyle w:val="11"/>
        <w:widowControl/>
        <w:numPr>
          <w:ilvl w:val="0"/>
          <w:numId w:val="6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斯坦福大学</w:t>
      </w:r>
      <w:r>
        <w:rPr>
          <w:rFonts w:ascii="仿宋" w:hAnsi="仿宋" w:eastAsia="仿宋" w:cs="Segoe UI"/>
          <w:color w:val="000000"/>
          <w:kern w:val="0"/>
          <w:szCs w:val="21"/>
        </w:rPr>
        <w:t xml:space="preserve"> （Stanford University）</w:t>
      </w:r>
    </w:p>
    <w:p w14:paraId="2212456D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项目时间：</w:t>
      </w:r>
      <w:r>
        <w:rPr>
          <w:rFonts w:ascii="仿宋" w:hAnsi="仿宋" w:eastAsia="仿宋" w:cs="Segoe UI"/>
          <w:color w:val="000000"/>
          <w:kern w:val="0"/>
          <w:szCs w:val="21"/>
        </w:rPr>
        <w:t>2026年7月15日（周三）— 7月25日（周六）</w:t>
      </w:r>
    </w:p>
    <w:p w14:paraId="669A38BB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项目时长：</w:t>
      </w:r>
      <w:r>
        <w:rPr>
          <w:rFonts w:ascii="仿宋" w:hAnsi="仿宋" w:eastAsia="仿宋" w:cs="Segoe UI"/>
          <w:color w:val="000000"/>
          <w:kern w:val="0"/>
          <w:szCs w:val="21"/>
        </w:rPr>
        <w:t>11天10晚</w:t>
      </w:r>
    </w:p>
    <w:p w14:paraId="594AC745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项目费用：</w:t>
      </w:r>
      <w:r>
        <w:rPr>
          <w:rFonts w:ascii="仿宋" w:hAnsi="仿宋" w:eastAsia="仿宋" w:cs="Segoe UI"/>
          <w:color w:val="000000"/>
          <w:kern w:val="0"/>
          <w:szCs w:val="21"/>
        </w:rPr>
        <w:t>38000元人民币</w:t>
      </w:r>
    </w:p>
    <w:p w14:paraId="30847B82">
      <w:pPr>
        <w:pStyle w:val="11"/>
        <w:widowControl/>
        <w:numPr>
          <w:ilvl w:val="0"/>
          <w:numId w:val="7"/>
        </w:numPr>
        <w:shd w:val="clear" w:color="auto" w:fill="FFFFFF"/>
        <w:adjustRightInd w:val="0"/>
        <w:snapToGrid w:val="0"/>
        <w:spacing w:after="100" w:afterAutospacing="1" w:line="360" w:lineRule="auto"/>
        <w:ind w:left="1265" w:leftChars="0" w:hanging="425"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  <w:lang w:val="en-US" w:eastAsia="zh-CN"/>
        </w:rPr>
        <w:t>10人成团：</w:t>
      </w:r>
      <w:r>
        <w:rPr>
          <w:rFonts w:ascii="仿宋" w:hAnsi="仿宋" w:eastAsia="仿宋" w:cs="Segoe UI"/>
          <w:color w:val="000000"/>
          <w:kern w:val="0"/>
          <w:szCs w:val="21"/>
        </w:rPr>
        <w:t>38000元人民币</w:t>
      </w:r>
      <w:r>
        <w:rPr>
          <w:rFonts w:hint="eastAsia" w:ascii="仿宋" w:hAnsi="仿宋" w:eastAsia="仿宋" w:cs="Segoe UI"/>
          <w:color w:val="000000"/>
          <w:kern w:val="0"/>
          <w:szCs w:val="21"/>
          <w:lang w:val="en-US" w:eastAsia="zh-CN"/>
        </w:rPr>
        <w:t>/人</w:t>
      </w:r>
    </w:p>
    <w:p w14:paraId="68B8B680">
      <w:pPr>
        <w:pStyle w:val="11"/>
        <w:widowControl/>
        <w:numPr>
          <w:ilvl w:val="0"/>
          <w:numId w:val="7"/>
        </w:numPr>
        <w:shd w:val="clear" w:color="auto" w:fill="FFFFFF"/>
        <w:adjustRightInd w:val="0"/>
        <w:snapToGrid w:val="0"/>
        <w:spacing w:after="100" w:afterAutospacing="1" w:line="360" w:lineRule="auto"/>
        <w:ind w:left="1265" w:leftChars="0" w:hanging="425"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  <w:lang w:val="en-US" w:eastAsia="zh-CN"/>
        </w:rPr>
        <w:t>15人成团：</w:t>
      </w:r>
      <w:r>
        <w:rPr>
          <w:rFonts w:ascii="仿宋" w:hAnsi="仿宋" w:eastAsia="仿宋" w:cs="Segoe UI"/>
          <w:color w:val="000000"/>
          <w:kern w:val="0"/>
          <w:szCs w:val="21"/>
        </w:rPr>
        <w:t>3</w:t>
      </w:r>
      <w:r>
        <w:rPr>
          <w:rFonts w:hint="eastAsia" w:ascii="仿宋" w:hAnsi="仿宋" w:eastAsia="仿宋" w:cs="Segoe UI"/>
          <w:color w:val="000000"/>
          <w:kern w:val="0"/>
          <w:szCs w:val="21"/>
          <w:lang w:val="en-US" w:eastAsia="zh-CN"/>
        </w:rPr>
        <w:t>0</w:t>
      </w:r>
      <w:r>
        <w:rPr>
          <w:rFonts w:ascii="仿宋" w:hAnsi="仿宋" w:eastAsia="仿宋" w:cs="Segoe UI"/>
          <w:color w:val="000000"/>
          <w:kern w:val="0"/>
          <w:szCs w:val="21"/>
        </w:rPr>
        <w:t>000元人民币</w:t>
      </w:r>
      <w:r>
        <w:rPr>
          <w:rFonts w:hint="eastAsia" w:ascii="仿宋" w:hAnsi="仿宋" w:eastAsia="仿宋" w:cs="Segoe UI"/>
          <w:color w:val="000000"/>
          <w:kern w:val="0"/>
          <w:szCs w:val="21"/>
          <w:lang w:val="en-US" w:eastAsia="zh-CN"/>
        </w:rPr>
        <w:t>/人</w:t>
      </w:r>
    </w:p>
    <w:p w14:paraId="4C89898C">
      <w:pPr>
        <w:pStyle w:val="11"/>
        <w:widowControl/>
        <w:numPr>
          <w:ilvl w:val="0"/>
          <w:numId w:val="8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费用包含：学费，教室教材费，全程住宿，全程地面交通（含接送机），国际保险，项目领队，签证指导；</w:t>
      </w:r>
    </w:p>
    <w:p w14:paraId="576D6A00">
      <w:pPr>
        <w:pStyle w:val="11"/>
        <w:widowControl/>
        <w:numPr>
          <w:ilvl w:val="0"/>
          <w:numId w:val="8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费用不含：国际旅费，护照和签证费，三餐；</w:t>
      </w:r>
    </w:p>
    <w:p w14:paraId="58BD31BA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住宿安排：伯克利：加州大学伯克利分校学生宿舍（可申请）</w:t>
      </w:r>
    </w:p>
    <w:p w14:paraId="665753C3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报名资格：</w:t>
      </w:r>
    </w:p>
    <w:p w14:paraId="46299385">
      <w:pPr>
        <w:pStyle w:val="11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英语能力：具备基础英语听说能力（无需雅思</w:t>
      </w:r>
      <w:r>
        <w:rPr>
          <w:rFonts w:ascii="仿宋" w:hAnsi="仿宋" w:eastAsia="仿宋" w:cs="Segoe UI"/>
          <w:color w:val="000000"/>
          <w:kern w:val="0"/>
          <w:szCs w:val="21"/>
        </w:rPr>
        <w:t>/托福成绩要求，能进行日常英语交流即可）</w:t>
      </w:r>
    </w:p>
    <w:p w14:paraId="0FE970E8">
      <w:pPr>
        <w:pStyle w:val="11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身体条件：身体健康，无影响出行的慢性病或传染性疾病</w:t>
      </w:r>
    </w:p>
    <w:p w14:paraId="6B2CFA8B">
      <w:pPr>
        <w:pStyle w:val="11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证件要求：持有有效中国护照（护照有效期须至</w:t>
      </w:r>
      <w:r>
        <w:rPr>
          <w:rFonts w:ascii="仿宋" w:hAnsi="仿宋" w:eastAsia="仿宋" w:cs="Segoe UI"/>
          <w:color w:val="000000"/>
          <w:kern w:val="0"/>
          <w:szCs w:val="21"/>
        </w:rPr>
        <w:t>2027年1月25日以上）</w:t>
      </w:r>
    </w:p>
    <w:p w14:paraId="7B8E4848">
      <w:pPr>
        <w:pStyle w:val="11"/>
        <w:widowControl/>
        <w:numPr>
          <w:ilvl w:val="0"/>
          <w:numId w:val="9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签证状态：无美国签证者需提前申请</w:t>
      </w:r>
      <w:r>
        <w:rPr>
          <w:rFonts w:ascii="仿宋" w:hAnsi="仿宋" w:eastAsia="仿宋" w:cs="Segoe UI"/>
          <w:color w:val="000000"/>
          <w:kern w:val="0"/>
          <w:szCs w:val="21"/>
        </w:rPr>
        <w:t>B1/B2旅游签证（项目组提供签证材料指导）</w:t>
      </w:r>
    </w:p>
    <w:p w14:paraId="2836CC2A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优先考虑：</w:t>
      </w:r>
    </w:p>
    <w:p w14:paraId="62ACFC3B">
      <w:pPr>
        <w:pStyle w:val="11"/>
        <w:widowControl/>
        <w:numPr>
          <w:ilvl w:val="0"/>
          <w:numId w:val="10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对数字经济、人工智能、互联网产业有浓厚兴趣</w:t>
      </w:r>
    </w:p>
    <w:p w14:paraId="14D1251D">
      <w:pPr>
        <w:pStyle w:val="11"/>
        <w:widowControl/>
        <w:numPr>
          <w:ilvl w:val="0"/>
          <w:numId w:val="10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有留学意向或计划申请海外研究生项目</w:t>
      </w:r>
    </w:p>
    <w:p w14:paraId="3F253219">
      <w:pPr>
        <w:pStyle w:val="11"/>
        <w:widowControl/>
        <w:numPr>
          <w:ilvl w:val="0"/>
          <w:numId w:val="10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经济学、计算机科学、工商管理、信息工程等相关专业学生</w:t>
      </w:r>
    </w:p>
    <w:p w14:paraId="77707153">
      <w:pPr>
        <w:pStyle w:val="11"/>
        <w:widowControl/>
        <w:numPr>
          <w:ilvl w:val="0"/>
          <w:numId w:val="10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有一定英文写作基础，能够完成英文课程作业</w:t>
      </w:r>
    </w:p>
    <w:p w14:paraId="4254ED11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组织流程：学生按要求报名后，由各学院统一汇总报名信息并报送国际处。报名材料审核完成后，学校将另行通知入选人员参加面试选拔的时间和地点。通过选拔的学生须按要求缴纳项目费用，后续由项目组协助办理签证、统一购买机票，并做好行前准备工作。</w:t>
      </w:r>
    </w:p>
    <w:p w14:paraId="35127149">
      <w:pPr>
        <w:pStyle w:val="11"/>
        <w:widowControl/>
        <w:numPr>
          <w:ilvl w:val="0"/>
          <w:numId w:val="5"/>
        </w:numPr>
        <w:shd w:val="clear" w:color="auto" w:fill="FFFFFF"/>
        <w:adjustRightInd w:val="0"/>
        <w:snapToGrid w:val="0"/>
        <w:spacing w:after="100" w:afterAutospacing="1" w:line="360" w:lineRule="auto"/>
        <w:ind w:firstLineChars="0"/>
        <w:jc w:val="left"/>
        <w:rPr>
          <w:rFonts w:hint="eastAsia" w:ascii="仿宋" w:hAnsi="仿宋" w:eastAsia="仿宋" w:cs="Segoe UI"/>
          <w:color w:val="000000"/>
          <w:kern w:val="0"/>
          <w:szCs w:val="21"/>
        </w:rPr>
      </w:pPr>
      <w:r>
        <w:rPr>
          <w:rFonts w:hint="eastAsia" w:ascii="仿宋" w:hAnsi="仿宋" w:eastAsia="仿宋" w:cs="Segoe UI"/>
          <w:color w:val="000000"/>
          <w:kern w:val="0"/>
          <w:szCs w:val="21"/>
        </w:rPr>
        <w:t>校内报名：网上办事大厅</w:t>
      </w:r>
      <w:r>
        <w:rPr>
          <w:rFonts w:ascii="仿宋" w:hAnsi="仿宋" w:eastAsia="仿宋" w:cs="Segoe UI"/>
          <w:color w:val="000000"/>
          <w:kern w:val="0"/>
          <w:szCs w:val="21"/>
        </w:rPr>
        <w:t xml:space="preserve"> → 办事指南 → 学生海外交流项目申请 → 统一身份认证 → 项目类型（选择校际学生交流项目） → 完善个人信息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A64C6"/>
    <w:multiLevelType w:val="multilevel"/>
    <w:tmpl w:val="073A64C6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98B4E45"/>
    <w:multiLevelType w:val="multilevel"/>
    <w:tmpl w:val="098B4E45"/>
    <w:lvl w:ilvl="0" w:tentative="0">
      <w:start w:val="1"/>
      <w:numFmt w:val="bullet"/>
      <w:lvlText w:val="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">
    <w:nsid w:val="0E2D7FEA"/>
    <w:multiLevelType w:val="multilevel"/>
    <w:tmpl w:val="0E2D7FEA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71E1992"/>
    <w:multiLevelType w:val="multilevel"/>
    <w:tmpl w:val="171E199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8DE2035"/>
    <w:multiLevelType w:val="multilevel"/>
    <w:tmpl w:val="18DE2035"/>
    <w:lvl w:ilvl="0" w:tentative="0">
      <w:start w:val="1"/>
      <w:numFmt w:val="bullet"/>
      <w:lvlText w:val="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5">
    <w:nsid w:val="28BA1D8D"/>
    <w:multiLevelType w:val="multilevel"/>
    <w:tmpl w:val="28BA1D8D"/>
    <w:lvl w:ilvl="0" w:tentative="0">
      <w:start w:val="1"/>
      <w:numFmt w:val="decimal"/>
      <w:lvlText w:val="%1."/>
      <w:lvlJc w:val="left"/>
      <w:pPr>
        <w:ind w:left="842" w:hanging="420"/>
      </w:p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6">
    <w:nsid w:val="58667B2F"/>
    <w:multiLevelType w:val="multilevel"/>
    <w:tmpl w:val="58667B2F"/>
    <w:lvl w:ilvl="0" w:tentative="0">
      <w:start w:val="1"/>
      <w:numFmt w:val="bullet"/>
      <w:lvlText w:val="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7">
    <w:nsid w:val="58BF6E96"/>
    <w:multiLevelType w:val="multilevel"/>
    <w:tmpl w:val="58BF6E96"/>
    <w:lvl w:ilvl="0" w:tentative="0">
      <w:start w:val="1"/>
      <w:numFmt w:val="decimal"/>
      <w:lvlText w:val="%1."/>
      <w:lvlJc w:val="left"/>
      <w:pPr>
        <w:ind w:left="84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26EA214"/>
    <w:multiLevelType w:val="singleLevel"/>
    <w:tmpl w:val="626EA214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9">
    <w:nsid w:val="687C2244"/>
    <w:multiLevelType w:val="multilevel"/>
    <w:tmpl w:val="687C2244"/>
    <w:lvl w:ilvl="0" w:tentative="0">
      <w:start w:val="1"/>
      <w:numFmt w:val="bullet"/>
      <w:lvlText w:val=""/>
      <w:lvlJc w:val="left"/>
      <w:pPr>
        <w:ind w:left="126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2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ECD"/>
    <w:rsid w:val="00073EE6"/>
    <w:rsid w:val="00074443"/>
    <w:rsid w:val="000A1927"/>
    <w:rsid w:val="000D4B83"/>
    <w:rsid w:val="000E0A7C"/>
    <w:rsid w:val="000E599D"/>
    <w:rsid w:val="001052EC"/>
    <w:rsid w:val="001375ED"/>
    <w:rsid w:val="00162215"/>
    <w:rsid w:val="00192F7F"/>
    <w:rsid w:val="001970F7"/>
    <w:rsid w:val="001B463C"/>
    <w:rsid w:val="001C04B6"/>
    <w:rsid w:val="001D434A"/>
    <w:rsid w:val="001D5ECD"/>
    <w:rsid w:val="00211FAA"/>
    <w:rsid w:val="002177F3"/>
    <w:rsid w:val="002250A4"/>
    <w:rsid w:val="002254C5"/>
    <w:rsid w:val="002326A7"/>
    <w:rsid w:val="00242029"/>
    <w:rsid w:val="00276F06"/>
    <w:rsid w:val="002B40C4"/>
    <w:rsid w:val="002C2079"/>
    <w:rsid w:val="002C2FEE"/>
    <w:rsid w:val="002E2CA6"/>
    <w:rsid w:val="003044EE"/>
    <w:rsid w:val="00312785"/>
    <w:rsid w:val="00386967"/>
    <w:rsid w:val="00397873"/>
    <w:rsid w:val="003F4DC3"/>
    <w:rsid w:val="00401ECF"/>
    <w:rsid w:val="004046E4"/>
    <w:rsid w:val="00431086"/>
    <w:rsid w:val="0045447E"/>
    <w:rsid w:val="00465688"/>
    <w:rsid w:val="00474C33"/>
    <w:rsid w:val="004A1F07"/>
    <w:rsid w:val="004C2339"/>
    <w:rsid w:val="0051364C"/>
    <w:rsid w:val="0054193C"/>
    <w:rsid w:val="005539AB"/>
    <w:rsid w:val="00561E7B"/>
    <w:rsid w:val="005B4DA7"/>
    <w:rsid w:val="005E13E2"/>
    <w:rsid w:val="00603F9E"/>
    <w:rsid w:val="00632D36"/>
    <w:rsid w:val="00634FD4"/>
    <w:rsid w:val="0063716F"/>
    <w:rsid w:val="00687640"/>
    <w:rsid w:val="006A22BC"/>
    <w:rsid w:val="006B49F7"/>
    <w:rsid w:val="006C764D"/>
    <w:rsid w:val="006E357E"/>
    <w:rsid w:val="006F6E46"/>
    <w:rsid w:val="00705E62"/>
    <w:rsid w:val="00711A57"/>
    <w:rsid w:val="007267A6"/>
    <w:rsid w:val="007461D8"/>
    <w:rsid w:val="00753BFF"/>
    <w:rsid w:val="00781EF4"/>
    <w:rsid w:val="007E722D"/>
    <w:rsid w:val="0081783A"/>
    <w:rsid w:val="00873F10"/>
    <w:rsid w:val="009117B0"/>
    <w:rsid w:val="00926D94"/>
    <w:rsid w:val="009377CA"/>
    <w:rsid w:val="00943DD1"/>
    <w:rsid w:val="00946BA8"/>
    <w:rsid w:val="009502B7"/>
    <w:rsid w:val="0095093F"/>
    <w:rsid w:val="00974A7E"/>
    <w:rsid w:val="009B4CF8"/>
    <w:rsid w:val="00A3236D"/>
    <w:rsid w:val="00A43159"/>
    <w:rsid w:val="00A6619F"/>
    <w:rsid w:val="00A720D2"/>
    <w:rsid w:val="00AA7476"/>
    <w:rsid w:val="00B15F79"/>
    <w:rsid w:val="00B423C4"/>
    <w:rsid w:val="00B54C5C"/>
    <w:rsid w:val="00B91DC6"/>
    <w:rsid w:val="00BC08B0"/>
    <w:rsid w:val="00BC3041"/>
    <w:rsid w:val="00C172EB"/>
    <w:rsid w:val="00C519E4"/>
    <w:rsid w:val="00C52FE8"/>
    <w:rsid w:val="00CB17CA"/>
    <w:rsid w:val="00CE4F1A"/>
    <w:rsid w:val="00CF05CB"/>
    <w:rsid w:val="00CF64FF"/>
    <w:rsid w:val="00D81D0F"/>
    <w:rsid w:val="00D8543C"/>
    <w:rsid w:val="00DB633A"/>
    <w:rsid w:val="00E03584"/>
    <w:rsid w:val="00E201C5"/>
    <w:rsid w:val="00E26018"/>
    <w:rsid w:val="00E32C76"/>
    <w:rsid w:val="00E367E1"/>
    <w:rsid w:val="00E7048C"/>
    <w:rsid w:val="00E804F3"/>
    <w:rsid w:val="00EA31F5"/>
    <w:rsid w:val="00EC335D"/>
    <w:rsid w:val="00ED5A68"/>
    <w:rsid w:val="00EE2501"/>
    <w:rsid w:val="00F04561"/>
    <w:rsid w:val="00F17FFC"/>
    <w:rsid w:val="00F70E9F"/>
    <w:rsid w:val="00FD11BE"/>
    <w:rsid w:val="0E4160DC"/>
    <w:rsid w:val="371F08ED"/>
    <w:rsid w:val="59755947"/>
    <w:rsid w:val="59FD190B"/>
    <w:rsid w:val="60563C14"/>
    <w:rsid w:val="D7958908"/>
    <w:rsid w:val="F76E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字符"/>
    <w:basedOn w:val="8"/>
    <w:link w:val="2"/>
    <w:semiHidden/>
    <w:qFormat/>
    <w:uiPriority w:val="99"/>
  </w:style>
  <w:style w:type="character" w:customStyle="1" w:styleId="13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1787</Words>
  <Characters>1860</Characters>
  <Lines>13</Lines>
  <Paragraphs>3</Paragraphs>
  <TotalTime>1</TotalTime>
  <ScaleCrop>false</ScaleCrop>
  <LinksUpToDate>false</LinksUpToDate>
  <CharactersWithSpaces>1878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2025-11-24T17:13:00Z</dcterms:created>
  <dc:creator>张倩</dc:creator>
  <cp:lastModifiedBy>LiDEng</cp:lastModifiedBy>
  <dcterms:modified xsi:type="dcterms:W3CDTF">2026-04-13T01:38:14Z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1AF8A1D9D0944F6C9F7E763C6AE9C12E_13</vt:lpwstr>
  </property>
  <property fmtid="{D5CDD505-2E9C-101B-9397-08002B2CF9AE}" pid="4" name="KSOTemplateDocerSaveRecord">
    <vt:lpwstr>eyJoZGlkIjoiNzA2ZDFjYWZjY2EzZTBjNTYxNzgyYzJmY2Q0MTM0YTQiLCJ1c2VySWQiOiIzOTU1NzgxNzUifQ==</vt:lpwstr>
  </property>
</Properties>
</file>